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
<Relationships xmlns="http://schemas.openxmlformats.org/package/2006/relationships"><Relationship Id="rId1" Type="http://schemas.openxmlformats.org/package/2006/relationships/metadata/core-properties" Target="docProps/core.xml"></Relationship><Relationship Id="rId2" Type="http://schemas.openxmlformats.org/officeDocument/2006/relationships/extended-properties" Target="docProps/app.xml"></Relationship><Relationship Id="rId3" Type="http://schemas.openxmlformats.org/officeDocument/2006/relationships/officeDocument" Target="word/document.xml"></Relationship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pi="http://schemas.microsoft.com/office/word/2010/wordprocessingInk">
  <w:body>
    <w:p>
      <w:pPr>
        <w:numPr>
          <w:ilvl w:val="0"/>
          <w:numId w:val="0"/>
        </w:numPr>
        <w:jc w:val="center"/>
        <w:spacing w:lineRule="auto" w:line="240" w:before="0" w:after="0"/>
        <w:ind w:left="0" w:hanging="0"/>
        <w:rPr>
          <w:spacing w:val="0"/>
          <w:i w:val="0"/>
          <w:b w:val="0"/>
          <w:color w:val="545454"/>
          <w:position w:val="0"/>
          <w:sz w:val="27"/>
          <w:szCs w:val="27"/>
          <w:rFonts w:ascii="微软雅黑" w:eastAsia="微软雅黑" w:hAnsi="微软雅黑" w:hint="default"/>
        </w:rPr>
        <w:wordWrap w:val="off"/>
      </w:pPr>
      <w:r>
        <w:rPr>
          <w:spacing w:val="0"/>
          <w:i w:val="0"/>
          <w:b w:val="0"/>
          <w:color w:val="545454"/>
          <w:position w:val="0"/>
          <w:sz w:val="27"/>
          <w:szCs w:val="27"/>
          <w:rFonts w:ascii="微软雅黑" w:eastAsia="微软雅黑" w:hAnsi="微软雅黑" w:hint="default"/>
        </w:rPr>
        <w:t>箱式变电站的维护和日常保护</w:t>
      </w:r>
    </w:p>
    <w:p>
      <w:pPr>
        <w:numPr>
          <w:ilvl w:val="0"/>
          <w:numId w:val="0"/>
        </w:numPr>
        <w:jc w:val="center"/>
        <w:spacing w:lineRule="auto" w:line="240" w:before="0" w:after="0"/>
        <w:ind w:left="0" w:hanging="0"/>
        <w:rPr>
          <w:spacing w:val="0"/>
          <w:i w:val="0"/>
          <w:b w:val="0"/>
          <w:color w:val="CCCCCC"/>
          <w:position w:val="0"/>
          <w:sz w:val="18"/>
          <w:szCs w:val="18"/>
          <w:rFonts w:ascii="宋体" w:eastAsia="宋体" w:hAnsi="宋体" w:hint="default"/>
        </w:rPr>
        <w:wordWrap w:val="off"/>
      </w:pPr>
      <w:r>
        <w:rPr>
          <w:spacing w:val="0"/>
          <w:i w:val="0"/>
          <w:b w:val="0"/>
          <w:color w:val="CCCCCC"/>
          <w:position w:val="0"/>
          <w:sz w:val="18"/>
          <w:szCs w:val="18"/>
          <w:rFonts w:ascii="宋体" w:eastAsia="宋体" w:hAnsi="宋体" w:hint="default"/>
        </w:rPr>
        <w:t>发布时间：2015-12-10</w:t>
      </w:r>
    </w:p>
    <w:p>
      <w:pPr>
        <w:numPr>
          <w:ilvl w:val="0"/>
          <w:numId w:val="0"/>
        </w:numPr>
        <w:jc w:val="left"/>
        <w:spacing w:lineRule="auto" w:line="240" w:before="0" w:after="150"/>
        <w:ind w:right="0" w:firstLine="0"/>
        <w:rPr>
          <w:spacing w:val="0"/>
          <w:i w:val="0"/>
          <w:b w:val="0"/>
          <w:color w:val="666666"/>
          <w:position w:val="0"/>
          <w:sz w:val="18"/>
          <w:szCs w:val="18"/>
          <w:rFonts w:ascii="宋体" w:eastAsia="宋体" w:hAnsi="宋体" w:hint="default"/>
        </w:rPr>
        <w:wordWrap w:val="off"/>
      </w:pPr>
      <w:r>
        <w:rPr>
          <w:spacing w:val="0"/>
          <w:i w:val="0"/>
          <w:b w:val="0"/>
          <w:color w:val="666666"/>
          <w:position w:val="0"/>
          <w:sz w:val="18"/>
          <w:szCs w:val="18"/>
          <w:rFonts w:ascii="宋体" w:eastAsia="宋体" w:hAnsi="宋体" w:hint="default"/>
        </w:rPr>
        <w:t xml:space="preserve">（1）产品中所有元件按各自规定的技术要求进行维护。 </w:t>
      </w:r>
      <w:r>
        <w:rPr>
          <w:spacing w:val="0"/>
          <w:i w:val="0"/>
          <w:b w:val="0"/>
          <w:color w:val="666666"/>
          <w:position w:val="0"/>
          <w:sz w:val="18"/>
          <w:szCs w:val="18"/>
          <w:rFonts w:ascii="宋体" w:eastAsia="宋体" w:hAnsi="宋体" w:hint="default"/>
        </w:rPr>
        <w:br/>
      </w:r>
      <w:r>
        <w:rPr>
          <w:spacing w:val="0"/>
          <w:i w:val="0"/>
          <w:b w:val="0"/>
          <w:color w:val="666666"/>
          <w:position w:val="0"/>
          <w:sz w:val="18"/>
          <w:szCs w:val="18"/>
          <w:rFonts w:ascii="宋体" w:eastAsia="宋体" w:hAnsi="宋体" w:hint="default"/>
        </w:rPr>
        <w:t xml:space="preserve">    （2）若选用的变压器为油浸式，每年应按规定至少进行一次油样分析检查。 </w:t>
      </w:r>
      <w:r>
        <w:rPr>
          <w:spacing w:val="0"/>
          <w:i w:val="0"/>
          <w:b w:val="0"/>
          <w:color w:val="666666"/>
          <w:position w:val="0"/>
          <w:sz w:val="18"/>
          <w:szCs w:val="18"/>
          <w:rFonts w:ascii="宋体" w:eastAsia="宋体" w:hAnsi="宋体" w:hint="default"/>
        </w:rPr>
        <w:br/>
      </w:r>
      <w:r>
        <w:rPr>
          <w:spacing w:val="0"/>
          <w:i w:val="0"/>
          <w:b w:val="0"/>
          <w:color w:val="666666"/>
          <w:position w:val="0"/>
          <w:sz w:val="18"/>
          <w:szCs w:val="18"/>
          <w:rFonts w:ascii="宋体" w:eastAsia="宋体" w:hAnsi="宋体" w:hint="default"/>
        </w:rPr>
        <w:t xml:space="preserve">    （3）运行中的高压开关设备，经20次带负荷或2000次无负荷分合闸操作后，应检查触头情况和灭弧装置的损</w:t>
      </w:r>
      <w:r>
        <w:rPr>
          <w:spacing w:val="0"/>
          <w:i w:val="0"/>
          <w:b w:val="0"/>
          <w:color w:val="666666"/>
          <w:position w:val="0"/>
          <w:sz w:val="18"/>
          <w:szCs w:val="18"/>
          <w:rFonts w:ascii="宋体" w:eastAsia="宋体" w:hAnsi="宋体" w:hint="default"/>
        </w:rPr>
        <w:t xml:space="preserve">耗程度，发现异常应及时检修或更换。 </w:t>
      </w:r>
      <w:r>
        <w:rPr>
          <w:spacing w:val="0"/>
          <w:i w:val="0"/>
          <w:b w:val="0"/>
          <w:color w:val="666666"/>
          <w:position w:val="0"/>
          <w:sz w:val="18"/>
          <w:szCs w:val="18"/>
          <w:rFonts w:ascii="宋体" w:eastAsia="宋体" w:hAnsi="宋体" w:hint="default"/>
        </w:rPr>
        <w:br/>
      </w:r>
      <w:r>
        <w:rPr>
          <w:spacing w:val="0"/>
          <w:i w:val="0"/>
          <w:b w:val="0"/>
          <w:color w:val="666666"/>
          <w:position w:val="0"/>
          <w:sz w:val="18"/>
          <w:szCs w:val="18"/>
          <w:rFonts w:ascii="宋体" w:eastAsia="宋体" w:hAnsi="宋体" w:hint="default"/>
        </w:rPr>
        <w:t xml:space="preserve">    （4）低压开关设备自动跳闸后，应检查分析跳闸原因，待排队故障后，方能重新投运。 </w:t>
      </w:r>
      <w:r>
        <w:rPr>
          <w:spacing w:val="0"/>
          <w:i w:val="0"/>
          <w:b w:val="0"/>
          <w:color w:val="666666"/>
          <w:position w:val="0"/>
          <w:sz w:val="18"/>
          <w:szCs w:val="18"/>
          <w:rFonts w:ascii="宋体" w:eastAsia="宋体" w:hAnsi="宋体" w:hint="default"/>
        </w:rPr>
        <w:br/>
      </w:r>
      <w:r>
        <w:rPr>
          <w:spacing w:val="0"/>
          <w:i w:val="0"/>
          <w:b w:val="0"/>
          <w:color w:val="666666"/>
          <w:position w:val="0"/>
          <w:sz w:val="18"/>
          <w:szCs w:val="18"/>
          <w:rFonts w:ascii="宋体" w:eastAsia="宋体" w:hAnsi="宋体" w:hint="default"/>
        </w:rPr>
        <w:t xml:space="preserve">    （5）避雷器每年应在雷雨季节到来之前进行一次预防性试验。 </w:t>
      </w:r>
      <w:r>
        <w:rPr>
          <w:spacing w:val="0"/>
          <w:i w:val="0"/>
          <w:b w:val="0"/>
          <w:color w:val="666666"/>
          <w:position w:val="0"/>
          <w:sz w:val="18"/>
          <w:szCs w:val="18"/>
          <w:rFonts w:ascii="宋体" w:eastAsia="宋体" w:hAnsi="宋体" w:hint="default"/>
        </w:rPr>
        <w:br/>
      </w:r>
      <w:r>
        <w:rPr>
          <w:spacing w:val="0"/>
          <w:i w:val="0"/>
          <w:b w:val="0"/>
          <w:color w:val="666666"/>
          <w:position w:val="0"/>
          <w:sz w:val="18"/>
          <w:szCs w:val="18"/>
          <w:rFonts w:ascii="宋体" w:eastAsia="宋体" w:hAnsi="宋体" w:hint="default"/>
        </w:rPr>
        <w:t xml:space="preserve">    （6）检修高压开关设备或整体维修时，必须先切断变电站进线电。</w:t>
      </w:r>
      <w:r>
        <w:rPr>
          <w:spacing w:val="0"/>
          <w:i w:val="0"/>
          <w:b w:val="0"/>
          <w:color w:val="666666"/>
          <w:position w:val="0"/>
          <w:sz w:val="18"/>
          <w:szCs w:val="18"/>
          <w:rFonts w:ascii="宋体" w:eastAsia="宋体" w:hAnsi="宋体" w:hint="default"/>
        </w:rPr>
        <w:br/>
      </w:r>
      <w:r>
        <w:rPr>
          <w:spacing w:val="0"/>
          <w:i w:val="0"/>
          <w:b w:val="0"/>
          <w:color w:val="666666"/>
          <w:position w:val="0"/>
          <w:sz w:val="18"/>
          <w:szCs w:val="18"/>
          <w:rFonts w:ascii="宋体" w:eastAsia="宋体" w:hAnsi="宋体" w:hint="default"/>
        </w:rPr>
        <w:br/>
      </w:r>
      <w:r>
        <w:rPr>
          <w:spacing w:val="0"/>
          <w:i w:val="0"/>
          <w:b w:val="0"/>
          <w:color w:val="666666"/>
          <w:position w:val="0"/>
          <w:sz w:val="18"/>
          <w:szCs w:val="18"/>
          <w:rFonts w:ascii="宋体" w:eastAsia="宋体" w:hAnsi="宋体" w:hint="default"/>
        </w:rPr>
        <w:t xml:space="preserve">    预装式变电站在安装、验收、交接性试验、试车、运行与维护等方面除应遵守电力部门要求执行的各项规定外。</w:t>
      </w:r>
      <w:r>
        <w:rPr>
          <w:spacing w:val="0"/>
          <w:i w:val="0"/>
          <w:b w:val="0"/>
          <w:color w:val="666666"/>
          <w:position w:val="0"/>
          <w:sz w:val="18"/>
          <w:szCs w:val="18"/>
          <w:rFonts w:ascii="宋体" w:eastAsia="宋体" w:hAnsi="宋体" w:hint="default"/>
        </w:rPr>
        <w:t xml:space="preserve">还应注意以下事项： </w:t>
      </w:r>
      <w:r>
        <w:rPr>
          <w:spacing w:val="0"/>
          <w:i w:val="0"/>
          <w:b w:val="0"/>
          <w:color w:val="666666"/>
          <w:position w:val="0"/>
          <w:sz w:val="18"/>
          <w:szCs w:val="18"/>
          <w:rFonts w:ascii="宋体" w:eastAsia="宋体" w:hAnsi="宋体" w:hint="default"/>
        </w:rPr>
        <w:br/>
      </w:r>
      <w:r>
        <w:rPr>
          <w:spacing w:val="0"/>
          <w:i w:val="0"/>
          <w:b w:val="0"/>
          <w:color w:val="666666"/>
          <w:position w:val="0"/>
          <w:sz w:val="18"/>
          <w:szCs w:val="18"/>
          <w:rFonts w:ascii="宋体" w:eastAsia="宋体" w:hAnsi="宋体" w:hint="default"/>
        </w:rPr>
        <w:br/>
      </w:r>
      <w:r>
        <w:rPr>
          <w:spacing w:val="0"/>
          <w:i w:val="0"/>
          <w:b w:val="1"/>
          <w:color w:val="666666"/>
          <w:position w:val="0"/>
          <w:sz w:val="24"/>
          <w:szCs w:val="24"/>
          <w:rFonts w:ascii="宋体" w:eastAsia="宋体" w:hAnsi="宋体" w:hint="default"/>
        </w:rPr>
        <w:t xml:space="preserve">    变压器安装</w:t>
      </w:r>
      <w:r>
        <w:rPr>
          <w:spacing w:val="0"/>
          <w:i w:val="0"/>
          <w:b w:val="0"/>
          <w:color w:val="666666"/>
          <w:position w:val="0"/>
          <w:sz w:val="18"/>
          <w:szCs w:val="18"/>
          <w:rFonts w:ascii="宋体" w:eastAsia="宋体" w:hAnsi="宋体" w:hint="default"/>
        </w:rPr>
        <w:br/>
      </w:r>
      <w:r>
        <w:rPr>
          <w:spacing w:val="0"/>
          <w:i w:val="0"/>
          <w:b w:val="0"/>
          <w:color w:val="666666"/>
          <w:position w:val="0"/>
          <w:sz w:val="18"/>
          <w:szCs w:val="18"/>
          <w:rFonts w:ascii="宋体" w:eastAsia="宋体" w:hAnsi="宋体" w:hint="default"/>
        </w:rPr>
        <w:t xml:space="preserve">    1、用户收货时应按有关规定仔细检查，对于不马上安装的产品，应按正常使用条件规定，存放于适当的场所。</w:t>
      </w:r>
      <w:r>
        <w:rPr>
          <w:spacing w:val="0"/>
          <w:i w:val="0"/>
          <w:b w:val="0"/>
          <w:color w:val="666666"/>
          <w:position w:val="0"/>
          <w:sz w:val="18"/>
          <w:szCs w:val="18"/>
          <w:rFonts w:ascii="宋体" w:eastAsia="宋体" w:hAnsi="宋体" w:hint="default"/>
        </w:rPr>
        <w:t xml:space="preserve"> </w:t>
      </w:r>
      <w:r>
        <w:rPr>
          <w:spacing w:val="0"/>
          <w:i w:val="0"/>
          <w:b w:val="0"/>
          <w:color w:val="666666"/>
          <w:position w:val="0"/>
          <w:sz w:val="18"/>
          <w:szCs w:val="18"/>
          <w:rFonts w:ascii="宋体" w:eastAsia="宋体" w:hAnsi="宋体" w:hint="default"/>
        </w:rPr>
        <w:br/>
      </w:r>
      <w:r>
        <w:rPr>
          <w:spacing w:val="0"/>
          <w:i w:val="0"/>
          <w:b w:val="0"/>
          <w:color w:val="666666"/>
          <w:position w:val="0"/>
          <w:sz w:val="18"/>
          <w:szCs w:val="18"/>
          <w:rFonts w:ascii="宋体" w:eastAsia="宋体" w:hAnsi="宋体" w:hint="default"/>
        </w:rPr>
        <w:t xml:space="preserve">    2、产品应采用专用吊具底部起吊。如图3 </w:t>
      </w:r>
      <w:r>
        <w:rPr>
          <w:spacing w:val="0"/>
          <w:i w:val="0"/>
          <w:b w:val="0"/>
          <w:color w:val="666666"/>
          <w:position w:val="0"/>
          <w:sz w:val="18"/>
          <w:szCs w:val="18"/>
          <w:rFonts w:ascii="宋体" w:eastAsia="宋体" w:hAnsi="宋体" w:hint="default"/>
        </w:rPr>
        <w:br/>
      </w:r>
      <w:r>
        <w:rPr>
          <w:spacing w:val="0"/>
          <w:i w:val="0"/>
          <w:b w:val="0"/>
          <w:color w:val="666666"/>
          <w:position w:val="0"/>
          <w:sz w:val="18"/>
          <w:szCs w:val="18"/>
          <w:rFonts w:ascii="宋体" w:eastAsia="宋体" w:hAnsi="宋体" w:hint="default"/>
        </w:rPr>
        <w:t xml:space="preserve">    3、产品水平安放在事先做好的基础上，装好四只地脚螺栓（可采用二次浇灌法），然后将产品底座与基础之间</w:t>
      </w:r>
      <w:r>
        <w:rPr>
          <w:spacing w:val="0"/>
          <w:i w:val="0"/>
          <w:b w:val="0"/>
          <w:color w:val="666666"/>
          <w:position w:val="0"/>
          <w:sz w:val="18"/>
          <w:szCs w:val="18"/>
          <w:rFonts w:ascii="宋体" w:eastAsia="宋体" w:hAnsi="宋体" w:hint="default"/>
        </w:rPr>
        <w:t xml:space="preserve">的缝隙用水泥沙桨抺封，以免雨水进入电缆室。通过高、低压室的底封板接入高、低压电缆。 </w:t>
      </w:r>
      <w:r>
        <w:rPr>
          <w:spacing w:val="0"/>
          <w:i w:val="0"/>
          <w:b w:val="0"/>
          <w:color w:val="666666"/>
          <w:position w:val="0"/>
          <w:sz w:val="18"/>
          <w:szCs w:val="18"/>
          <w:rFonts w:ascii="宋体" w:eastAsia="宋体" w:hAnsi="宋体" w:hint="default"/>
        </w:rPr>
        <w:br/>
      </w:r>
      <w:r>
        <w:rPr>
          <w:spacing w:val="0"/>
          <w:i w:val="0"/>
          <w:b w:val="0"/>
          <w:color w:val="666666"/>
          <w:position w:val="0"/>
          <w:sz w:val="18"/>
          <w:szCs w:val="18"/>
          <w:rFonts w:ascii="宋体" w:eastAsia="宋体" w:hAnsi="宋体" w:hint="default"/>
        </w:rPr>
        <w:t xml:space="preserve">    4、电缆与穿管之间的缝隙密封防水。 </w:t>
      </w:r>
      <w:r>
        <w:rPr>
          <w:spacing w:val="0"/>
          <w:i w:val="0"/>
          <w:b w:val="0"/>
          <w:color w:val="666666"/>
          <w:position w:val="0"/>
          <w:sz w:val="18"/>
          <w:szCs w:val="18"/>
          <w:rFonts w:ascii="宋体" w:eastAsia="宋体" w:hAnsi="宋体" w:hint="default"/>
        </w:rPr>
        <w:br/>
      </w:r>
      <w:r>
        <w:rPr>
          <w:spacing w:val="0"/>
          <w:i w:val="0"/>
          <w:b w:val="0"/>
          <w:color w:val="666666"/>
          <w:position w:val="0"/>
          <w:sz w:val="18"/>
          <w:szCs w:val="18"/>
          <w:rFonts w:ascii="宋体" w:eastAsia="宋体" w:hAnsi="宋体" w:hint="default"/>
        </w:rPr>
        <w:t xml:space="preserve">    5、电站高压侧无论是采用架空进线还是电缆进线，均应在变电站附近设置高压侧进线的明显可见的断口（如跌</w:t>
      </w:r>
      <w:r>
        <w:rPr>
          <w:spacing w:val="0"/>
          <w:i w:val="0"/>
          <w:b w:val="0"/>
          <w:color w:val="666666"/>
          <w:position w:val="0"/>
          <w:sz w:val="18"/>
          <w:szCs w:val="18"/>
          <w:rFonts w:ascii="宋体" w:eastAsia="宋体" w:hAnsi="宋体" w:hint="default"/>
        </w:rPr>
        <w:t xml:space="preserve">落式熔断器等）。从而向维修操作人员明确显示变电站内是否可能带电。以确保维修操作人员的安全。 </w:t>
      </w:r>
      <w:r>
        <w:rPr>
          <w:spacing w:val="0"/>
          <w:i w:val="0"/>
          <w:b w:val="0"/>
          <w:color w:val="666666"/>
          <w:position w:val="0"/>
          <w:sz w:val="18"/>
          <w:szCs w:val="18"/>
          <w:rFonts w:ascii="宋体" w:eastAsia="宋体" w:hAnsi="宋体" w:hint="default"/>
        </w:rPr>
        <w:br/>
      </w:r>
      <w:r>
        <w:rPr>
          <w:spacing w:val="0"/>
          <w:i w:val="0"/>
          <w:b w:val="0"/>
          <w:color w:val="666666"/>
          <w:position w:val="0"/>
          <w:sz w:val="18"/>
          <w:szCs w:val="18"/>
          <w:rFonts w:ascii="宋体" w:eastAsia="宋体" w:hAnsi="宋体" w:hint="default"/>
        </w:rPr>
        <w:t xml:space="preserve">    6、产品安装就位后应做好可靠接地：电站底座槽钢上的两个主接地端子、变压器中性点及外壳、避雷器下桩头</w:t>
      </w:r>
      <w:r>
        <w:rPr>
          <w:spacing w:val="0"/>
          <w:i w:val="0"/>
          <w:b w:val="0"/>
          <w:color w:val="666666"/>
          <w:position w:val="0"/>
          <w:sz w:val="18"/>
          <w:szCs w:val="18"/>
          <w:rFonts w:ascii="宋体" w:eastAsia="宋体" w:hAnsi="宋体" w:hint="default"/>
        </w:rPr>
        <w:t>等均应分别由安装部门直接接地。所在接地应共用一组接地装置，其接地电阻应小于4欧姆，从接地网引至本产品的</w:t>
      </w:r>
      <w:r>
        <w:rPr>
          <w:spacing w:val="0"/>
          <w:i w:val="0"/>
          <w:b w:val="0"/>
          <w:color w:val="666666"/>
          <w:position w:val="0"/>
          <w:sz w:val="18"/>
          <w:szCs w:val="18"/>
          <w:rFonts w:ascii="宋体" w:eastAsia="宋体" w:hAnsi="宋体" w:hint="default"/>
        </w:rPr>
        <w:t>接地引线应不少于两条。</w:t>
      </w:r>
    </w:p>
    <w:p>
      <w:pPr>
        <w:numPr>
          <w:ilvl w:val="0"/>
          <w:numId w:val="0"/>
        </w:numPr>
        <w:jc w:val="center"/>
        <w:spacing w:lineRule="auto" w:line="240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</w:p>
    <w:sectPr>
      <w:footnotePr>
        <w:numFmt w:val="decimal"/>
        <w:numRestart w:val="continuous"/>
        <w:numStart w:val="1"/>
        <w:pos w:val="pageBottom"/>
      </w:footnotePr>
      <w:endnotePr>
        <w:numFmt w:val="lowerRoman"/>
        <w:numRestart w:val="continuous"/>
        <w:numStart w:val="1"/>
        <w:pos w:val="docEnd"/>
      </w:endnotePr>
      <w:pgSz w:w="11906" w:h="16838"/>
      <w:pgMar w:top="1701" w:left="1440" w:bottom="1440" w:right="1440" w:header="708" w:footer="708" w:gutter="0"/>
      <w:pgNumType w:fmt="decimal"/>
      <w:docGrid w:type="default" w:linePitch="360" w:charSpace="614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宋体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Calibri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Wingdings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Times New Roman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맑은 고딕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微软雅黑">
    <w:panose1 w:val="020F0502020204030204"/>
    <w:charset w:val="0"/>
    <w:family w:val="mordern"/>
    <w:pitch w:val="variable"/>
    <w:sig w:usb0="A00002EF" w:usb1="4000207B" w:usb2="00000000" w:usb3="00000000" w:csb0="FFFFFF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avePreviewPicture/>
  <w:proofState w:spelling="clean" w:grammar="clean"/>
  <w:defaultTabStop w:val="800"/>
  <w:displayHorizontalDrawingGridEvery w:val="0"/>
  <w:displayVerticalDrawingGridEvery w:val="2"/>
  <w:noPunctuationKerning/>
  <w:characterSpacingControl w:val="doNotCompress"/>
  <w:bordersDoNotSurroundHeader/>
  <w:bordersDoNotSurroundFooter/>
  <w:compat>
    <w:balanceSingleByteDoubleByteWidth/>
    <w:useFELayout/>
    <w:compatSetting w:name="compatibilityMode" w:uri="http://schemas.microsoft.com/office/word" w:val="15"/>
  </w:compat>
  <m:mathPr>
    <m:mathFont m:value="Cambria Math"/>
    <m:brkBin m:value="before"/>
    <m:brkBinSub m:value="--"/>
    <m:smallFrac m:value="off"/>
    <m:dispDef/>
    <m:lMargin m:value="0"/>
    <m:rMargin m:value="0"/>
    <m:defJc m:value="centerGroup"/>
    <m:wrapIndent m:value="1440"/>
    <m:intLim m:value="subSup"/>
    <m:naryLim m:value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:stylePaneFormatFilter w:val="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docDefaults>
    <w:pPrDefault>
      <w:pPr>
        <w:jc w:val="both"/>
      </w:pPr>
    </w:pPrDefault>
    <w:rPrDefault>
      <w:rPr>
        <w:shd w:val="clear"/>
        <w:sz w:val="21"/>
        <w:szCs w:val="21"/>
        <w:w w:val="100"/>
      </w:rPr>
    </w:rPrDefault>
  </w:docDefaults>
  <w:style w:default="1" w:styleId="PO1" w:type="paragraph">
    <w:name w:val="Normal"/>
    <w:link w:val="PO-1"/>
    <w:qFormat/>
    <w:uiPriority w:val="1"/>
    <w:pPr>
      <w:jc w:val="both"/>
    </w:pPr>
    <w:rPr>
      <w:shd w:val="clear"/>
      <w:sz w:val="21"/>
      <w:szCs w:val="21"/>
      <w:w w:val="100"/>
    </w:rPr>
  </w:style>
  <w:style w:default="1" w:styleId="PO2" w:type="character">
    <w:name w:val="Default Paragraph Font"/>
    <w:qFormat/>
    <w:uiPriority w:val="2"/>
    <w:semiHidden/>
    <w:unhideWhenUsed/>
    <w:rPr>
      <w:shd w:val="clear"/>
      <w:sz w:val="21"/>
      <w:szCs w:val="21"/>
      <w:w w:val="100"/>
    </w:rPr>
  </w:style>
  <w:style w:default="1" w:styleId="PO3" w:type="table">
    <w:name w:val="Normal Table"/>
    <w:uiPriority w:val="3"/>
    <w:semiHidden/>
    <w:unhideWhenUsed/>
    <w:tblPr>
      <w:tblCellMar>
        <w:bottom w:type="dxa" w:w="0"/>
        <w:left w:type="dxa" w:w="108"/>
        <w:right w:type="dxa" w:w="108"/>
        <w:top w:type="dxa" w:w="0"/>
      </w:tblCellMar>
      <w:tblInd w:type="dxa" w:w="0"/>
    </w:tblPr>
  </w:style>
  <w:style w:default="1" w:styleId="PO4" w:type="numbering">
    <w:name w:val="No List"/>
    <w:uiPriority w:val="4"/>
    <w:semiHidden/>
    <w:unhideWhenUsed/>
  </w:style>
  <w:style w:styleId="PO5" w:type="paragraph">
    <w:name w:val="No Spacing"/>
    <w:link w:val="PO-1"/>
    <w:qFormat/>
    <w:uiPriority w:val="5"/>
    <w:pPr>
      <w:jc w:val="both"/>
    </w:pPr>
    <w:rPr>
      <w:shd w:val="clear"/>
      <w:sz w:val="21"/>
      <w:szCs w:val="21"/>
      <w:w w:val="100"/>
    </w:rPr>
  </w:style>
  <w:style w:styleId="PO6" w:type="paragraph">
    <w:name w:val="Title"/>
    <w:link w:val="PO-1"/>
    <w:qFormat/>
    <w:uiPriority w:val="6"/>
    <w:pPr>
      <w:jc w:val="center"/>
    </w:pPr>
    <w:rPr>
      <w:b/>
      <w:shd w:val="clear"/>
      <w:sz w:val="32"/>
      <w:szCs w:val="32"/>
      <w:w w:val="100"/>
    </w:rPr>
  </w:style>
  <w:style w:styleId="PO7" w:type="paragraph">
    <w:name w:val="heading 1"/>
    <w:link w:val="PO-1"/>
    <w:qFormat/>
    <w:uiPriority w:val="7"/>
    <w:pPr>
      <w:jc w:val="both"/>
    </w:pPr>
    <w:rPr>
      <w:shd w:val="clear"/>
      <w:sz w:val="28"/>
      <w:szCs w:val="28"/>
      <w:w w:val="100"/>
    </w:rPr>
  </w:style>
  <w:style w:styleId="PO8" w:type="paragraph">
    <w:name w:val="heading 2"/>
    <w:link w:val="PO-1"/>
    <w:qFormat/>
    <w:uiPriority w:val="8"/>
    <w:pPr>
      <w:jc w:val="both"/>
    </w:pPr>
    <w:rPr>
      <w:shd w:val="clear"/>
      <w:sz w:val="21"/>
      <w:szCs w:val="21"/>
      <w:w w:val="100"/>
    </w:rPr>
  </w:style>
  <w:style w:styleId="PO9" w:type="paragraph">
    <w:name w:val="heading 3"/>
    <w:link w:val="PO-1"/>
    <w:qFormat/>
    <w:uiPriority w:val="9"/>
    <w:pPr>
      <w:ind w:left="1000" w:hanging="400"/>
      <w:jc w:val="both"/>
    </w:pPr>
    <w:rPr>
      <w:shd w:val="clear"/>
      <w:sz w:val="21"/>
      <w:szCs w:val="21"/>
      <w:w w:val="100"/>
    </w:rPr>
  </w:style>
  <w:style w:styleId="PO10" w:type="paragraph">
    <w:name w:val="heading 4"/>
    <w:link w:val="PO-1"/>
    <w:qFormat/>
    <w:uiPriority w:val="10"/>
    <w:pPr>
      <w:ind w:left="1200" w:hanging="400"/>
      <w:jc w:val="both"/>
    </w:pPr>
    <w:rPr>
      <w:b/>
      <w:shd w:val="clear"/>
      <w:sz w:val="21"/>
      <w:szCs w:val="21"/>
      <w:w w:val="100"/>
    </w:rPr>
  </w:style>
  <w:style w:styleId="PO11" w:type="paragraph">
    <w:name w:val="heading 5"/>
    <w:link w:val="PO-1"/>
    <w:qFormat/>
    <w:uiPriority w:val="11"/>
    <w:pPr>
      <w:ind w:left="1400" w:hanging="400"/>
      <w:jc w:val="both"/>
    </w:pPr>
    <w:rPr>
      <w:shd w:val="clear"/>
      <w:sz w:val="21"/>
      <w:szCs w:val="21"/>
      <w:w w:val="100"/>
    </w:rPr>
  </w:style>
  <w:style w:styleId="PO12" w:type="paragraph">
    <w:name w:val="heading 6"/>
    <w:link w:val="PO-1"/>
    <w:qFormat/>
    <w:uiPriority w:val="12"/>
    <w:pPr>
      <w:ind w:left="1600" w:hanging="400"/>
      <w:jc w:val="both"/>
    </w:pPr>
    <w:rPr>
      <w:b/>
      <w:shd w:val="clear"/>
      <w:sz w:val="21"/>
      <w:szCs w:val="21"/>
      <w:w w:val="100"/>
    </w:rPr>
  </w:style>
  <w:style w:styleId="PO13" w:type="paragraph">
    <w:name w:val="heading 7"/>
    <w:link w:val="PO-1"/>
    <w:qFormat/>
    <w:uiPriority w:val="13"/>
    <w:pPr>
      <w:ind w:left="1800" w:hanging="400"/>
      <w:jc w:val="both"/>
    </w:pPr>
    <w:rPr>
      <w:shd w:val="clear"/>
      <w:sz w:val="21"/>
      <w:szCs w:val="21"/>
      <w:w w:val="100"/>
    </w:rPr>
  </w:style>
  <w:style w:styleId="PO14" w:type="paragraph">
    <w:name w:val="heading 8"/>
    <w:link w:val="PO-1"/>
    <w:qFormat/>
    <w:uiPriority w:val="14"/>
    <w:pPr>
      <w:ind w:left="2000" w:hanging="400"/>
      <w:jc w:val="both"/>
    </w:pPr>
    <w:rPr>
      <w:shd w:val="clear"/>
      <w:sz w:val="21"/>
      <w:szCs w:val="21"/>
      <w:w w:val="100"/>
    </w:rPr>
  </w:style>
  <w:style w:styleId="PO15" w:type="paragraph">
    <w:name w:val="heading 9"/>
    <w:link w:val="PO-1"/>
    <w:qFormat/>
    <w:uiPriority w:val="15"/>
    <w:pPr>
      <w:ind w:left="2200" w:hanging="400"/>
      <w:jc w:val="both"/>
    </w:pPr>
    <w:rPr>
      <w:shd w:val="clear"/>
      <w:sz w:val="21"/>
      <w:szCs w:val="21"/>
      <w:w w:val="100"/>
    </w:rPr>
  </w:style>
  <w:style w:styleId="PO16" w:type="paragraph">
    <w:name w:val="Subtitle"/>
    <w:link w:val="PO-1"/>
    <w:qFormat/>
    <w:uiPriority w:val="16"/>
    <w:pPr>
      <w:jc w:val="center"/>
    </w:pPr>
    <w:rPr>
      <w:shd w:val="clear"/>
      <w:sz w:val="24"/>
      <w:szCs w:val="24"/>
      <w:w w:val="100"/>
    </w:rPr>
  </w:style>
  <w:style w:styleId="PO17" w:type="character">
    <w:name w:val="Subtle Emphasis"/>
    <w:qFormat/>
    <w:uiPriority w:val="17"/>
    <w:rPr>
      <w:color w:val="404040"/>
      <w:i/>
      <w:shd w:val="clear"/>
      <w:sz w:val="21"/>
      <w:szCs w:val="21"/>
      <w:w w:val="100"/>
    </w:rPr>
  </w:style>
  <w:style w:styleId="PO18" w:type="character">
    <w:name w:val="Emphasis"/>
    <w:qFormat/>
    <w:uiPriority w:val="18"/>
    <w:rPr>
      <w:i/>
      <w:shd w:val="clear"/>
      <w:sz w:val="21"/>
      <w:szCs w:val="21"/>
      <w:w w:val="100"/>
    </w:rPr>
  </w:style>
  <w:style w:styleId="PO19" w:type="character">
    <w:name w:val="Intense Emphasis"/>
    <w:qFormat/>
    <w:uiPriority w:val="19"/>
    <w:rPr>
      <w:color w:val="5B9BD5"/>
      <w:i/>
      <w:shd w:val="clear"/>
      <w:sz w:val="21"/>
      <w:szCs w:val="21"/>
      <w:w w:val="100"/>
    </w:rPr>
  </w:style>
  <w:style w:styleId="PO20" w:type="character">
    <w:name w:val="Strong"/>
    <w:qFormat/>
    <w:uiPriority w:val="20"/>
    <w:rPr>
      <w:b/>
      <w:shd w:val="clear"/>
      <w:sz w:val="21"/>
      <w:szCs w:val="21"/>
      <w:w w:val="100"/>
    </w:rPr>
  </w:style>
  <w:style w:styleId="PO21" w:type="paragraph">
    <w:name w:val="Quote"/>
    <w:link w:val="PO-1"/>
    <w:qFormat/>
    <w:uiPriority w:val="21"/>
    <w:pPr>
      <w:ind w:left="864" w:right="864" w:firstLine="0"/>
      <w:jc w:val="center"/>
    </w:pPr>
    <w:rPr>
      <w:color w:val="404040"/>
      <w:i/>
      <w:shd w:val="clear"/>
      <w:sz w:val="21"/>
      <w:szCs w:val="21"/>
      <w:w w:val="100"/>
    </w:rPr>
  </w:style>
  <w:style w:styleId="PO22" w:type="paragraph">
    <w:name w:val="Intense Quote"/>
    <w:link w:val="PO-1"/>
    <w:qFormat/>
    <w:uiPriority w:val="22"/>
    <w:pPr>
      <w:ind w:left="950" w:right="950" w:firstLine="0"/>
      <w:jc w:val="center"/>
    </w:pPr>
    <w:rPr>
      <w:color w:val="5B9BD5"/>
      <w:i/>
      <w:shd w:val="clear"/>
      <w:sz w:val="21"/>
      <w:szCs w:val="21"/>
      <w:w w:val="100"/>
    </w:rPr>
  </w:style>
  <w:style w:styleId="PO23" w:type="character">
    <w:name w:val="Subtle Reference"/>
    <w:qFormat/>
    <w:uiPriority w:val="23"/>
    <w:rPr>
      <w:color w:val="5A5A5A"/>
      <w:shd w:val="clear"/>
      <w:smallCaps/>
      <w:sz w:val="21"/>
      <w:szCs w:val="21"/>
      <w:w w:val="100"/>
    </w:rPr>
  </w:style>
  <w:style w:styleId="PO24" w:type="character">
    <w:name w:val="Intense Reference"/>
    <w:qFormat/>
    <w:uiPriority w:val="24"/>
    <w:rPr>
      <w:color w:val="5B9BD5"/>
      <w:b/>
      <w:shd w:val="clear"/>
      <w:smallCaps/>
      <w:sz w:val="21"/>
      <w:szCs w:val="21"/>
      <w:w w:val="100"/>
    </w:rPr>
  </w:style>
  <w:style w:styleId="PO25" w:type="character">
    <w:name w:val="Book Title"/>
    <w:qFormat/>
    <w:uiPriority w:val="25"/>
    <w:rPr>
      <w:i/>
      <w:b/>
      <w:shd w:val="clear"/>
      <w:sz w:val="21"/>
      <w:szCs w:val="21"/>
      <w:w w:val="100"/>
    </w:rPr>
  </w:style>
  <w:style w:styleId="PO26" w:type="paragraph">
    <w:name w:val="List Paragraph"/>
    <w:link w:val="PO-1"/>
    <w:qFormat/>
    <w:uiPriority w:val="26"/>
    <w:pPr>
      <w:ind w:left="850" w:firstLine="0"/>
      <w:jc w:val="both"/>
    </w:pPr>
    <w:rPr>
      <w:shd w:val="clear"/>
      <w:sz w:val="21"/>
      <w:szCs w:val="21"/>
      <w:w w:val="100"/>
    </w:rPr>
  </w:style>
  <w:style w:styleId="PO27" w:type="paragraph">
    <w:name w:val="TOC Heading"/>
    <w:link w:val="PO-1"/>
    <w:qFormat/>
    <w:uiPriority w:val="27"/>
    <w:unhideWhenUsed/>
    <w:pPr/>
    <w:rPr>
      <w:color w:val="2E74B5"/>
      <w:shd w:val="clear"/>
      <w:sz w:val="32"/>
      <w:szCs w:val="32"/>
      <w:w w:val="100"/>
    </w:rPr>
  </w:style>
  <w:style w:styleId="PO28" w:type="paragraph">
    <w:name w:val="toc 1"/>
    <w:link w:val="PO-1"/>
    <w:qFormat/>
    <w:uiPriority w:val="28"/>
    <w:unhideWhenUsed/>
    <w:pPr>
      <w:jc w:val="both"/>
    </w:pPr>
    <w:rPr>
      <w:shd w:val="clear"/>
      <w:sz w:val="21"/>
      <w:szCs w:val="21"/>
      <w:w w:val="100"/>
    </w:rPr>
  </w:style>
  <w:style w:styleId="PO29" w:type="paragraph">
    <w:name w:val="toc 2"/>
    <w:link w:val="PO-1"/>
    <w:qFormat/>
    <w:uiPriority w:val="29"/>
    <w:unhideWhenUsed/>
    <w:pPr>
      <w:ind w:left="425" w:firstLine="0"/>
      <w:jc w:val="both"/>
    </w:pPr>
    <w:rPr>
      <w:shd w:val="clear"/>
      <w:sz w:val="21"/>
      <w:szCs w:val="21"/>
      <w:w w:val="100"/>
    </w:rPr>
  </w:style>
  <w:style w:styleId="PO30" w:type="paragraph">
    <w:name w:val="toc 3"/>
    <w:link w:val="PO-1"/>
    <w:qFormat/>
    <w:uiPriority w:val="30"/>
    <w:unhideWhenUsed/>
    <w:pPr>
      <w:ind w:left="850" w:firstLine="0"/>
      <w:jc w:val="both"/>
    </w:pPr>
    <w:rPr>
      <w:shd w:val="clear"/>
      <w:sz w:val="21"/>
      <w:szCs w:val="21"/>
      <w:w w:val="100"/>
    </w:rPr>
  </w:style>
  <w:style w:styleId="PO31" w:type="paragraph">
    <w:name w:val="toc 4"/>
    <w:link w:val="PO-1"/>
    <w:qFormat/>
    <w:uiPriority w:val="31"/>
    <w:unhideWhenUsed/>
    <w:pPr>
      <w:ind w:left="1275" w:firstLine="0"/>
      <w:jc w:val="both"/>
    </w:pPr>
    <w:rPr>
      <w:shd w:val="clear"/>
      <w:sz w:val="21"/>
      <w:szCs w:val="21"/>
      <w:w w:val="100"/>
    </w:rPr>
  </w:style>
  <w:style w:styleId="PO32" w:type="paragraph">
    <w:name w:val="toc 5"/>
    <w:link w:val="PO-1"/>
    <w:qFormat/>
    <w:uiPriority w:val="32"/>
    <w:unhideWhenUsed/>
    <w:pPr>
      <w:ind w:left="1700" w:firstLine="0"/>
      <w:jc w:val="both"/>
    </w:pPr>
    <w:rPr>
      <w:shd w:val="clear"/>
      <w:sz w:val="21"/>
      <w:szCs w:val="21"/>
      <w:w w:val="100"/>
    </w:rPr>
  </w:style>
  <w:style w:styleId="PO33" w:type="paragraph">
    <w:name w:val="toc 6"/>
    <w:link w:val="PO-1"/>
    <w:qFormat/>
    <w:uiPriority w:val="33"/>
    <w:unhideWhenUsed/>
    <w:pPr>
      <w:ind w:left="2125" w:firstLine="0"/>
      <w:jc w:val="both"/>
    </w:pPr>
    <w:rPr>
      <w:shd w:val="clear"/>
      <w:sz w:val="21"/>
      <w:szCs w:val="21"/>
      <w:w w:val="100"/>
    </w:rPr>
  </w:style>
  <w:style w:styleId="PO34" w:type="paragraph">
    <w:name w:val="toc 7"/>
    <w:link w:val="PO-1"/>
    <w:qFormat/>
    <w:uiPriority w:val="34"/>
    <w:unhideWhenUsed/>
    <w:pPr>
      <w:ind w:left="2550" w:firstLine="0"/>
      <w:jc w:val="both"/>
    </w:pPr>
    <w:rPr>
      <w:shd w:val="clear"/>
      <w:sz w:val="21"/>
      <w:szCs w:val="21"/>
      <w:w w:val="100"/>
    </w:rPr>
  </w:style>
  <w:style w:styleId="PO35" w:type="paragraph">
    <w:name w:val="toc 8"/>
    <w:link w:val="PO-1"/>
    <w:qFormat/>
    <w:uiPriority w:val="35"/>
    <w:unhideWhenUsed/>
    <w:pPr>
      <w:ind w:left="2975" w:firstLine="0"/>
      <w:jc w:val="both"/>
    </w:pPr>
    <w:rPr>
      <w:shd w:val="clear"/>
      <w:sz w:val="21"/>
      <w:szCs w:val="21"/>
      <w:w w:val="100"/>
    </w:rPr>
  </w:style>
  <w:style w:styleId="PO36" w:type="paragraph">
    <w:name w:val="toc 9"/>
    <w:link w:val="PO-1"/>
    <w:qFormat/>
    <w:uiPriority w:val="36"/>
    <w:unhideWhenUsed/>
    <w:pPr>
      <w:ind w:left="3400" w:firstLine="0"/>
      <w:jc w:val="both"/>
    </w:pPr>
    <w:rPr>
      <w:shd w:val="clear"/>
      <w:sz w:val="21"/>
      <w:szCs w:val="21"/>
      <w:w w:val="1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?>
<Relationships xmlns="http://schemas.openxmlformats.org/package/2006/relationships"><Relationship Id="rId1" Type="http://schemas.openxmlformats.org/officeDocument/2006/relationships/webSettings" Target="webSettings.xml"></Relationship><Relationship Id="rId2" Type="http://schemas.openxmlformats.org/officeDocument/2006/relationships/fontTable" Target="fontTable.xml"></Relationship><Relationship Id="rId3" Type="http://schemas.openxmlformats.org/officeDocument/2006/relationships/settings" Target="settings.xml"></Relationship><Relationship Id="rId4" Type="http://schemas.openxmlformats.org/officeDocument/2006/relationships/styles" Target="styles.xml"></Relationship><Relationship Id="rId5" Type="http://schemas.openxmlformats.org/officeDocument/2006/relationships/theme" Target="theme/theme1.xml"></Relationship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Application>JisuOffice Write</Application>
  <AppVersion>12.000</AppVersion>
  <Characters>0</Characters>
  <CharactersWithSpaces>0</CharactersWithSpaces>
  <DocSecurity>0</DocSecurity>
  <HyperlinksChanged>false</HyperlinksChanged>
  <Lines>0</Lines>
  <LinksUpToDate>false</LinksUpToDate>
  <Pages>1</Pages>
  <Paragraphs>0</Paragraphs>
  <Words>15</Words>
  <TotalTime>0</TotalTime>
  <MMClips>0</MMClip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Title text</vt:lpstr>
    </vt:vector>
  </TitlesOfParts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</cp:revision>
  <cp:lastModifiedBy/>
</cp:coreProperties>
</file>