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center"/>
        <w:spacing w:lineRule="auto" w:line="240" w:before="0" w:after="0"/>
        <w:ind w:left="0" w:hanging="0"/>
        <w:rPr>
          <w:spacing w:val="0"/>
          <w:i w:val="0"/>
          <w:b w:val="0"/>
          <w:color w:val="545454"/>
          <w:position w:val="0"/>
          <w:sz w:val="27"/>
          <w:szCs w:val="27"/>
          <w:rFonts w:ascii="微软雅黑" w:eastAsia="微软雅黑" w:hAnsi="微软雅黑" w:hint="default"/>
        </w:rPr>
        <w:wordWrap w:val="off"/>
      </w:pPr>
      <w:r>
        <w:rPr>
          <w:spacing w:val="0"/>
          <w:i w:val="0"/>
          <w:b w:val="0"/>
          <w:color w:val="545454"/>
          <w:position w:val="0"/>
          <w:sz w:val="27"/>
          <w:szCs w:val="27"/>
          <w:rFonts w:ascii="微软雅黑" w:eastAsia="微软雅黑" w:hAnsi="微软雅黑" w:hint="default"/>
        </w:rPr>
        <w:t>箱式变电站之变压器内部结构分析，箱式变电站元器件结构</w:t>
      </w:r>
    </w:p>
    <w:p>
      <w:pPr>
        <w:numPr>
          <w:ilvl w:val="0"/>
          <w:numId w:val="0"/>
        </w:numPr>
        <w:jc w:val="center"/>
        <w:spacing w:lineRule="auto" w:line="240" w:before="0" w:after="0"/>
        <w:ind w:left="0" w:hanging="0"/>
        <w:rPr>
          <w:spacing w:val="0"/>
          <w:i w:val="0"/>
          <w:b w:val="0"/>
          <w:color w:val="CCCCCC"/>
          <w:position w:val="0"/>
          <w:sz w:val="18"/>
          <w:szCs w:val="18"/>
          <w:rFonts w:ascii="宋体" w:eastAsia="宋体" w:hAnsi="宋体" w:hint="default"/>
        </w:rPr>
        <w:wordWrap w:val="off"/>
      </w:pPr>
      <w:r>
        <w:rPr>
          <w:spacing w:val="0"/>
          <w:i w:val="0"/>
          <w:b w:val="0"/>
          <w:color w:val="CCCCCC"/>
          <w:position w:val="0"/>
          <w:sz w:val="18"/>
          <w:szCs w:val="18"/>
          <w:rFonts w:ascii="宋体" w:eastAsia="宋体" w:hAnsi="宋体" w:hint="default"/>
        </w:rPr>
        <w:t>发布时间：2015-12-21</w:t>
      </w:r>
    </w:p>
    <w:p>
      <w:pPr>
        <w:numPr>
          <w:ilvl w:val="0"/>
          <w:numId w:val="0"/>
        </w:numPr>
        <w:jc w:val="left"/>
        <w:spacing w:lineRule="auto" w:line="240" w:before="0" w:after="150"/>
        <w:ind w:right="0" w:firstLine="0"/>
        <w:rPr>
          <w:spacing w:val="0"/>
          <w:i w:val="0"/>
          <w:b w:val="0"/>
          <w:color w:val="666666"/>
          <w:position w:val="0"/>
          <w:sz w:val="18"/>
          <w:szCs w:val="18"/>
          <w:rFonts w:ascii="宋体" w:eastAsia="宋体" w:hAnsi="宋体" w:hint="default"/>
        </w:rPr>
        <w:wordWrap w:val="off"/>
      </w:pP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箱式变电站之变压器内部结构分析。</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变压器是根据电磁感应原理制成的一种能将同频率的交流电能进行转换、传输的静止的电磁设备。变压器的种类很多，</w:t>
      </w:r>
      <w:r>
        <w:rPr>
          <w:spacing w:val="0"/>
          <w:i w:val="0"/>
          <w:b w:val="0"/>
          <w:color w:val="666666"/>
          <w:position w:val="0"/>
          <w:sz w:val="18"/>
          <w:szCs w:val="18"/>
          <w:rFonts w:ascii="宋体" w:eastAsia="宋体" w:hAnsi="宋体" w:hint="default"/>
        </w:rPr>
        <w:t>尽管用途不同，但是它们的基本结构是相同的，主要包括铁心和绕组两大部分。铁心和绕组统称为器身。为了改善散</w:t>
      </w:r>
      <w:r>
        <w:rPr>
          <w:spacing w:val="0"/>
          <w:i w:val="0"/>
          <w:b w:val="0"/>
          <w:color w:val="666666"/>
          <w:position w:val="0"/>
          <w:sz w:val="18"/>
          <w:szCs w:val="18"/>
          <w:rFonts w:ascii="宋体" w:eastAsia="宋体" w:hAnsi="宋体" w:hint="default"/>
        </w:rPr>
        <w:t>热条件，使变压器安全可靠运行，电力变压器等大型变压器还设有油箱、储油柜、安全气道等其他附件。</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1.铁心</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变压器的一次、二次绕组都是绕在铁心上的。铁心的作用是提供闭合的磁路，让磁通绝大部分通过铁心构成闭合回路。</w:t>
      </w:r>
      <w:r>
        <w:rPr>
          <w:spacing w:val="0"/>
          <w:i w:val="0"/>
          <w:b w:val="0"/>
          <w:color w:val="666666"/>
          <w:position w:val="0"/>
          <w:sz w:val="18"/>
          <w:szCs w:val="18"/>
          <w:rFonts w:ascii="宋体" w:eastAsia="宋体" w:hAnsi="宋体" w:hint="default"/>
        </w:rPr>
        <w:t xml:space="preserve">为了提高导磁性能和减少铁损，变压器的铁心多采用0.27mm或0. 15mm厚的冷轧硅钢片叠压而成。</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2.绕组</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绕组是变压器的电路部分，常用绝缘铜线或铝线绕制而成，近来还有用铝箔绕制而成的。变压器绕组一般由一次绕</w:t>
      </w:r>
      <w:r>
        <w:rPr>
          <w:spacing w:val="0"/>
          <w:i w:val="0"/>
          <w:b w:val="0"/>
          <w:color w:val="666666"/>
          <w:position w:val="0"/>
          <w:sz w:val="18"/>
          <w:szCs w:val="18"/>
          <w:rFonts w:ascii="宋体" w:eastAsia="宋体" w:hAnsi="宋体" w:hint="default"/>
        </w:rPr>
        <w:t>组(高压绕组)和二次绕组(低压绕组)组成。为了使绕组便于制造和在电磁力作用下受力均匀以及机械性能良好，一</w:t>
      </w:r>
      <w:r>
        <w:rPr>
          <w:spacing w:val="0"/>
          <w:i w:val="0"/>
          <w:b w:val="0"/>
          <w:color w:val="666666"/>
          <w:position w:val="0"/>
          <w:sz w:val="18"/>
          <w:szCs w:val="18"/>
          <w:rFonts w:ascii="宋体" w:eastAsia="宋体" w:hAnsi="宋体" w:hint="default"/>
        </w:rPr>
        <w:t>般电力变压器都把绕组绕制成圆筒形。</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3.附件</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(1)油箱电力变压器多采用油浸式结构。小容量的变压器，一般采用平壁式油箱，容量稍大的变压器则采用管式油箱，</w:t>
      </w:r>
      <w:r>
        <w:rPr>
          <w:spacing w:val="0"/>
          <w:i w:val="0"/>
          <w:b w:val="0"/>
          <w:color w:val="666666"/>
          <w:position w:val="0"/>
          <w:sz w:val="18"/>
          <w:szCs w:val="18"/>
          <w:rFonts w:ascii="宋体" w:eastAsia="宋体" w:hAnsi="宋体" w:hint="default"/>
        </w:rPr>
        <w:t>即在油箱壁上焊有散热油管，以增加散热面积。对于容量为3000一10000kV·A的变压器，则采用散热式油箱。</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（2)气体继电器(俗称瓦斯继电器)气体继电器装在油枕和油箱的连通管中间，当变压器内部发生故障(如绝缘击穿、</w:t>
      </w:r>
      <w:r>
        <w:rPr>
          <w:spacing w:val="0"/>
          <w:i w:val="0"/>
          <w:b w:val="0"/>
          <w:color w:val="666666"/>
          <w:position w:val="0"/>
          <w:sz w:val="18"/>
          <w:szCs w:val="18"/>
          <w:rFonts w:ascii="宋体" w:eastAsia="宋体" w:hAnsi="宋体" w:hint="default"/>
        </w:rPr>
        <w:t>匝间短路等)产生气体或油箱漏油使油面降低时，气体继电器动作，发出信号以便运行人员及时处理。若事故严重，</w:t>
      </w:r>
      <w:r>
        <w:rPr>
          <w:spacing w:val="0"/>
          <w:i w:val="0"/>
          <w:b w:val="0"/>
          <w:color w:val="666666"/>
          <w:position w:val="0"/>
          <w:sz w:val="18"/>
          <w:szCs w:val="18"/>
          <w:rFonts w:ascii="宋体" w:eastAsia="宋体" w:hAnsi="宋体" w:hint="default"/>
        </w:rPr>
        <w:t>可使断路器自动跳闸，对变压器起保护作用。</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(3)分接开关油箱盖上面装有分接开关，可调节一次绕组的匝数，当电网电压波动时，变压器本身能做到小范围的</w:t>
      </w:r>
      <w:r>
        <w:rPr>
          <w:spacing w:val="0"/>
          <w:i w:val="0"/>
          <w:b w:val="0"/>
          <w:color w:val="666666"/>
          <w:position w:val="0"/>
          <w:sz w:val="18"/>
          <w:szCs w:val="18"/>
          <w:rFonts w:ascii="宋体" w:eastAsia="宋体" w:hAnsi="宋体" w:hint="default"/>
        </w:rPr>
        <w:t>电压调节，以保证负载端电压的稳定。</w:t>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br/>
      </w:r>
      <w:r>
        <w:rPr>
          <w:spacing w:val="0"/>
          <w:i w:val="0"/>
          <w:b w:val="0"/>
          <w:color w:val="666666"/>
          <w:position w:val="0"/>
          <w:sz w:val="18"/>
          <w:szCs w:val="18"/>
          <w:rFonts w:ascii="宋体" w:eastAsia="宋体" w:hAnsi="宋体" w:hint="default"/>
        </w:rPr>
        <w:t>许昌昌顺电气设备有限公司主要生产箱式变电站配电柜、控制柜、电表箱、配电箱、低压配电柜、高压开关柜、高低</w:t>
      </w:r>
      <w:r>
        <w:rPr>
          <w:spacing w:val="0"/>
          <w:i w:val="0"/>
          <w:b w:val="0"/>
          <w:color w:val="666666"/>
          <w:position w:val="0"/>
          <w:sz w:val="18"/>
          <w:szCs w:val="18"/>
          <w:rFonts w:ascii="宋体" w:eastAsia="宋体" w:hAnsi="宋体" w:hint="default"/>
        </w:rPr>
        <w:t>压成套设备、工控柜、110kV以下等级箱变、变压器房、矿用移动变、非标柜、电表箱、非标电控箱、控制箱、变电</w:t>
      </w:r>
      <w:r>
        <w:rPr>
          <w:spacing w:val="0"/>
          <w:i w:val="0"/>
          <w:b w:val="0"/>
          <w:color w:val="666666"/>
          <w:position w:val="0"/>
          <w:sz w:val="18"/>
          <w:szCs w:val="18"/>
          <w:rFonts w:ascii="宋体" w:eastAsia="宋体" w:hAnsi="宋体" w:hint="default"/>
        </w:rPr>
        <w:t>箱、机柜、网络机柜、电池柜、操作台、箱式变电站等产品。</w:t>
      </w:r>
    </w:p>
    <w:p>
      <w:pPr>
        <w:numPr>
          <w:ilvl w:val="0"/>
          <w:numId w:val="0"/>
        </w:numPr>
        <w:jc w:val="center"/>
        <w:spacing w:lineRule="auto" w:line="240" w:before="0" w:after="0"/>
        <w:ind w:left="0" w:hanging="0"/>
        <w:rPr>
          <w:color w:val="auto"/>
          <w:position w:val="0"/>
          <w:sz w:val="21"/>
          <w:szCs w:val="21"/>
          <w:rFonts w:ascii="Calibri" w:eastAsia="宋体" w:hAnsi="宋体" w:hint="default"/>
        </w:rPr>
        <w:wordWrap w:val="off"/>
      </w:pPr>
    </w:p>
    <w:sectPr>
      <w:footnotePr>
        <w:numFmt w:val="decimal"/>
        <w:numRestart w:val="continuous"/>
        <w:numStart w:val="1"/>
        <w:pos w:val="pageBottom"/>
      </w:footnotePr>
      <w:endnotePr>
        <w:numFmt w:val="lowerRoman"/>
        <w:numRestart w:val="continuous"/>
        <w:numStart w:val="1"/>
        <w:pos w:val="docEnd"/>
      </w:endnotePr>
      <w:pgSz w:w="11906" w:h="16838"/>
      <w:pgMar w:top="1701" w:left="1440" w:bottom="1440" w:right="1440" w:header="708" w:footer="708" w:gutter="0"/>
      <w:pgNumType w:fmt="decimal"/>
      <w:docGrid w:type="default" w:linePitch="360" w:charSpace="6144"/>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 w:name="微软雅黑">
    <w:panose1 w:val="020F0502020204030204"/>
    <w:charset w:val="0"/>
    <w:family w:val="mordern"/>
    <w:pitch w:val="variable"/>
    <w:sig w:usb0="A00002EF" w:usb1="4000207B" w:usb2="00000000" w:usb3="00000000" w:csb0="FFFFFF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800"/>
  <w:displayHorizontalDrawingGridEvery w:val="0"/>
  <w:displayVerticalDrawingGridEvery w:val="2"/>
  <w:noPunctuationKerning/>
  <w:characterSpacingControl w:val="doNotCompress"/>
  <w:bordersDoNotSurroundHeader/>
  <w:bordersDoNotSurroundFooter/>
  <w:compat>
    <w:balanceSingleByteDoubleByteWidth/>
    <w:useFELayout/>
    <w:compatSetting w:name="compatibilityMode" w:uri="http://schemas.microsoft.com/office/word" w:val="15"/>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tylePaneFormatFilter w:val="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jc w:val="both"/>
      </w:pPr>
    </w:pPrDefault>
    <w:rPrDefault>
      <w:rPr>
        <w:shd w:val="clear"/>
        <w:sz w:val="21"/>
        <w:szCs w:val="21"/>
        <w:w w:val="100"/>
      </w:rPr>
    </w:rPrDefault>
  </w:docDefaults>
  <w:style w:default="1" w:styleId="PO1" w:type="paragraph">
    <w:name w:val="Normal"/>
    <w:link w:val="PO-1"/>
    <w:qFormat/>
    <w:uiPriority w:val="1"/>
    <w:pPr>
      <w:jc w:val="both"/>
    </w:pPr>
    <w:rPr>
      <w:shd w:val="clear"/>
      <w:sz w:val="21"/>
      <w:szCs w:val="21"/>
      <w:w w:val="100"/>
    </w:rPr>
  </w:style>
  <w:style w:default="1" w:styleId="PO2" w:type="character">
    <w:name w:val="Default Paragraph Font"/>
    <w:qFormat/>
    <w:uiPriority w:val="2"/>
    <w:semiHidden/>
    <w:unhideWhenUsed/>
    <w:rPr>
      <w:shd w:val="clear"/>
      <w:sz w:val="21"/>
      <w:szCs w:val="21"/>
      <w:w w:val="100"/>
    </w:rPr>
  </w:style>
  <w:style w:default="1" w:styleId="PO3" w:type="table">
    <w:name w:val="Normal Table"/>
    <w:uiPriority w:val="3"/>
    <w:semiHidden/>
    <w:unhideWhenUsed/>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jc w:val="both"/>
    </w:pPr>
    <w:rPr>
      <w:shd w:val="clear"/>
      <w:sz w:val="21"/>
      <w:szCs w:val="21"/>
      <w:w w:val="100"/>
    </w:rPr>
  </w:style>
  <w:style w:styleId="PO6" w:type="paragraph">
    <w:name w:val="Title"/>
    <w:link w:val="PO-1"/>
    <w:qFormat/>
    <w:uiPriority w:val="6"/>
    <w:pPr>
      <w:jc w:val="center"/>
    </w:pPr>
    <w:rPr>
      <w:b/>
      <w:shd w:val="clear"/>
      <w:sz w:val="32"/>
      <w:szCs w:val="32"/>
      <w:w w:val="100"/>
    </w:rPr>
  </w:style>
  <w:style w:styleId="PO7" w:type="paragraph">
    <w:name w:val="heading 1"/>
    <w:link w:val="PO-1"/>
    <w:qFormat/>
    <w:uiPriority w:val="7"/>
    <w:pPr>
      <w:jc w:val="both"/>
    </w:pPr>
    <w:rPr>
      <w:shd w:val="clear"/>
      <w:sz w:val="28"/>
      <w:szCs w:val="28"/>
      <w:w w:val="100"/>
    </w:rPr>
  </w:style>
  <w:style w:styleId="PO8" w:type="paragraph">
    <w:name w:val="heading 2"/>
    <w:link w:val="PO-1"/>
    <w:qFormat/>
    <w:uiPriority w:val="8"/>
    <w:pPr>
      <w:jc w:val="both"/>
    </w:pPr>
    <w:rPr>
      <w:shd w:val="clear"/>
      <w:sz w:val="21"/>
      <w:szCs w:val="21"/>
      <w:w w:val="100"/>
    </w:rPr>
  </w:style>
  <w:style w:styleId="PO9" w:type="paragraph">
    <w:name w:val="heading 3"/>
    <w:link w:val="PO-1"/>
    <w:qFormat/>
    <w:uiPriority w:val="9"/>
    <w:pPr>
      <w:ind w:left="1000" w:hanging="400"/>
      <w:jc w:val="both"/>
    </w:pPr>
    <w:rPr>
      <w:shd w:val="clear"/>
      <w:sz w:val="21"/>
      <w:szCs w:val="21"/>
      <w:w w:val="100"/>
    </w:rPr>
  </w:style>
  <w:style w:styleId="PO10" w:type="paragraph">
    <w:name w:val="heading 4"/>
    <w:link w:val="PO-1"/>
    <w:qFormat/>
    <w:uiPriority w:val="10"/>
    <w:pPr>
      <w:ind w:left="1200" w:hanging="400"/>
      <w:jc w:val="both"/>
    </w:pPr>
    <w:rPr>
      <w:b/>
      <w:shd w:val="clear"/>
      <w:sz w:val="21"/>
      <w:szCs w:val="21"/>
      <w:w w:val="100"/>
    </w:rPr>
  </w:style>
  <w:style w:styleId="PO11" w:type="paragraph">
    <w:name w:val="heading 5"/>
    <w:link w:val="PO-1"/>
    <w:qFormat/>
    <w:uiPriority w:val="11"/>
    <w:pPr>
      <w:ind w:left="1400" w:hanging="400"/>
      <w:jc w:val="both"/>
    </w:pPr>
    <w:rPr>
      <w:shd w:val="clear"/>
      <w:sz w:val="21"/>
      <w:szCs w:val="21"/>
      <w:w w:val="100"/>
    </w:rPr>
  </w:style>
  <w:style w:styleId="PO12" w:type="paragraph">
    <w:name w:val="heading 6"/>
    <w:link w:val="PO-1"/>
    <w:qFormat/>
    <w:uiPriority w:val="12"/>
    <w:pPr>
      <w:ind w:left="1600" w:hanging="400"/>
      <w:jc w:val="both"/>
    </w:pPr>
    <w:rPr>
      <w:b/>
      <w:shd w:val="clear"/>
      <w:sz w:val="21"/>
      <w:szCs w:val="21"/>
      <w:w w:val="100"/>
    </w:rPr>
  </w:style>
  <w:style w:styleId="PO13" w:type="paragraph">
    <w:name w:val="heading 7"/>
    <w:link w:val="PO-1"/>
    <w:qFormat/>
    <w:uiPriority w:val="13"/>
    <w:pPr>
      <w:ind w:left="1800" w:hanging="400"/>
      <w:jc w:val="both"/>
    </w:pPr>
    <w:rPr>
      <w:shd w:val="clear"/>
      <w:sz w:val="21"/>
      <w:szCs w:val="21"/>
      <w:w w:val="100"/>
    </w:rPr>
  </w:style>
  <w:style w:styleId="PO14" w:type="paragraph">
    <w:name w:val="heading 8"/>
    <w:link w:val="PO-1"/>
    <w:qFormat/>
    <w:uiPriority w:val="14"/>
    <w:pPr>
      <w:ind w:left="2000" w:hanging="400"/>
      <w:jc w:val="both"/>
    </w:pPr>
    <w:rPr>
      <w:shd w:val="clear"/>
      <w:sz w:val="21"/>
      <w:szCs w:val="21"/>
      <w:w w:val="100"/>
    </w:rPr>
  </w:style>
  <w:style w:styleId="PO15" w:type="paragraph">
    <w:name w:val="heading 9"/>
    <w:link w:val="PO-1"/>
    <w:qFormat/>
    <w:uiPriority w:val="15"/>
    <w:pPr>
      <w:ind w:left="2200" w:hanging="400"/>
      <w:jc w:val="both"/>
    </w:pPr>
    <w:rPr>
      <w:shd w:val="clear"/>
      <w:sz w:val="21"/>
      <w:szCs w:val="21"/>
      <w:w w:val="100"/>
    </w:rPr>
  </w:style>
  <w:style w:styleId="PO16" w:type="paragraph">
    <w:name w:val="Subtitle"/>
    <w:link w:val="PO-1"/>
    <w:qFormat/>
    <w:uiPriority w:val="16"/>
    <w:pPr>
      <w:jc w:val="center"/>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ind w:left="864" w:right="864" w:firstLine="0"/>
      <w:jc w:val="center"/>
    </w:pPr>
    <w:rPr>
      <w:color w:val="404040"/>
      <w:i/>
      <w:shd w:val="clear"/>
      <w:sz w:val="21"/>
      <w:szCs w:val="21"/>
      <w:w w:val="100"/>
    </w:rPr>
  </w:style>
  <w:style w:styleId="PO22" w:type="paragraph">
    <w:name w:val="Intense Quote"/>
    <w:link w:val="PO-1"/>
    <w:qFormat/>
    <w:uiPriority w:val="22"/>
    <w:pPr>
      <w:ind w:left="950" w:right="950" w:firstLine="0"/>
      <w:jc w:val="center"/>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link w:val="PO-1"/>
    <w:qFormat/>
    <w:uiPriority w:val="26"/>
    <w:pPr>
      <w:ind w:left="850" w:firstLine="0"/>
      <w:jc w:val="both"/>
    </w:pPr>
    <w:rPr>
      <w:shd w:val="clear"/>
      <w:sz w:val="21"/>
      <w:szCs w:val="21"/>
      <w:w w:val="100"/>
    </w:rPr>
  </w:style>
  <w:style w:styleId="PO27" w:type="paragraph">
    <w:name w:val="TOC Heading"/>
    <w:link w:val="PO-1"/>
    <w:qFormat/>
    <w:uiPriority w:val="27"/>
    <w:unhideWhenUsed/>
    <w:pPr/>
    <w:rPr>
      <w:color w:val="2E74B5"/>
      <w:shd w:val="clear"/>
      <w:sz w:val="32"/>
      <w:szCs w:val="32"/>
      <w:w w:val="100"/>
    </w:rPr>
  </w:style>
  <w:style w:styleId="PO28" w:type="paragraph">
    <w:name w:val="toc 1"/>
    <w:link w:val="PO-1"/>
    <w:qFormat/>
    <w:uiPriority w:val="28"/>
    <w:unhideWhenUsed/>
    <w:pPr>
      <w:jc w:val="both"/>
    </w:pPr>
    <w:rPr>
      <w:shd w:val="clear"/>
      <w:sz w:val="21"/>
      <w:szCs w:val="21"/>
      <w:w w:val="100"/>
    </w:rPr>
  </w:style>
  <w:style w:styleId="PO29" w:type="paragraph">
    <w:name w:val="toc 2"/>
    <w:link w:val="PO-1"/>
    <w:qFormat/>
    <w:uiPriority w:val="29"/>
    <w:unhideWhenUsed/>
    <w:pPr>
      <w:ind w:left="425" w:firstLine="0"/>
      <w:jc w:val="both"/>
    </w:pPr>
    <w:rPr>
      <w:shd w:val="clear"/>
      <w:sz w:val="21"/>
      <w:szCs w:val="21"/>
      <w:w w:val="100"/>
    </w:rPr>
  </w:style>
  <w:style w:styleId="PO30" w:type="paragraph">
    <w:name w:val="toc 3"/>
    <w:link w:val="PO-1"/>
    <w:qFormat/>
    <w:uiPriority w:val="30"/>
    <w:unhideWhenUsed/>
    <w:pPr>
      <w:ind w:left="850" w:firstLine="0"/>
      <w:jc w:val="both"/>
    </w:pPr>
    <w:rPr>
      <w:shd w:val="clear"/>
      <w:sz w:val="21"/>
      <w:szCs w:val="21"/>
      <w:w w:val="100"/>
    </w:rPr>
  </w:style>
  <w:style w:styleId="PO31" w:type="paragraph">
    <w:name w:val="toc 4"/>
    <w:link w:val="PO-1"/>
    <w:qFormat/>
    <w:uiPriority w:val="31"/>
    <w:unhideWhenUsed/>
    <w:pPr>
      <w:ind w:left="1275" w:firstLine="0"/>
      <w:jc w:val="both"/>
    </w:pPr>
    <w:rPr>
      <w:shd w:val="clear"/>
      <w:sz w:val="21"/>
      <w:szCs w:val="21"/>
      <w:w w:val="100"/>
    </w:rPr>
  </w:style>
  <w:style w:styleId="PO32" w:type="paragraph">
    <w:name w:val="toc 5"/>
    <w:link w:val="PO-1"/>
    <w:qFormat/>
    <w:uiPriority w:val="32"/>
    <w:unhideWhenUsed/>
    <w:pPr>
      <w:ind w:left="1700" w:firstLine="0"/>
      <w:jc w:val="both"/>
    </w:pPr>
    <w:rPr>
      <w:shd w:val="clear"/>
      <w:sz w:val="21"/>
      <w:szCs w:val="21"/>
      <w:w w:val="100"/>
    </w:rPr>
  </w:style>
  <w:style w:styleId="PO33" w:type="paragraph">
    <w:name w:val="toc 6"/>
    <w:link w:val="PO-1"/>
    <w:qFormat/>
    <w:uiPriority w:val="33"/>
    <w:unhideWhenUsed/>
    <w:pPr>
      <w:ind w:left="2125" w:firstLine="0"/>
      <w:jc w:val="both"/>
    </w:pPr>
    <w:rPr>
      <w:shd w:val="clear"/>
      <w:sz w:val="21"/>
      <w:szCs w:val="21"/>
      <w:w w:val="100"/>
    </w:rPr>
  </w:style>
  <w:style w:styleId="PO34" w:type="paragraph">
    <w:name w:val="toc 7"/>
    <w:link w:val="PO-1"/>
    <w:qFormat/>
    <w:uiPriority w:val="34"/>
    <w:unhideWhenUsed/>
    <w:pPr>
      <w:ind w:left="2550" w:firstLine="0"/>
      <w:jc w:val="both"/>
    </w:pPr>
    <w:rPr>
      <w:shd w:val="clear"/>
      <w:sz w:val="21"/>
      <w:szCs w:val="21"/>
      <w:w w:val="100"/>
    </w:rPr>
  </w:style>
  <w:style w:styleId="PO35" w:type="paragraph">
    <w:name w:val="toc 8"/>
    <w:link w:val="PO-1"/>
    <w:qFormat/>
    <w:uiPriority w:val="35"/>
    <w:unhideWhenUsed/>
    <w:pPr>
      <w:ind w:left="2975" w:firstLine="0"/>
      <w:jc w:val="both"/>
    </w:pPr>
    <w:rPr>
      <w:shd w:val="clear"/>
      <w:sz w:val="21"/>
      <w:szCs w:val="21"/>
      <w:w w:val="100"/>
    </w:rPr>
  </w:style>
  <w:style w:styleId="PO36" w:type="paragraph">
    <w:name w:val="toc 9"/>
    <w:link w:val="PO-1"/>
    <w:qFormat/>
    <w:uiPriority w:val="36"/>
    <w:unhideWhenUsed/>
    <w:pPr>
      <w:ind w:left="3400" w:firstLine="0"/>
      <w:jc w:val="both"/>
    </w:pPr>
    <w:rPr>
      <w:shd w:val="clear"/>
      <w:sz w:val="21"/>
      <w:szCs w:val="21"/>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0</Characters>
  <CharactersWithSpaces>0</CharactersWithSpaces>
  <DocSecurity>0</DocSecurity>
  <HyperlinksChanged>false</HyperlinksChanged>
  <Lines>0</Lines>
  <LinksUpToDate>false</LinksUpToDate>
  <Pages>1</Pages>
  <Paragraphs>0</Paragraphs>
  <Words>14</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ModifiedBy/>
</cp:coreProperties>
</file>